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027" w:rsidRDefault="00107027">
      <w:pPr>
        <w:jc w:val="right"/>
      </w:pPr>
    </w:p>
    <w:tbl>
      <w:tblPr>
        <w:tblW w:w="5000" w:type="pct"/>
        <w:tblInd w:w="10" w:type="dxa"/>
        <w:tblBorders>
          <w:top w:val="single" w:sz="1" w:space="0" w:color="D5D5D5"/>
          <w:bottom w:val="single" w:sz="1" w:space="0" w:color="D5D5D5"/>
        </w:tblBorders>
        <w:shd w:val="clear" w:color="auto" w:fill="EFEFEF"/>
        <w:tblCellMar>
          <w:top w:w="100" w:type="dxa"/>
          <w:left w:w="10" w:type="dxa"/>
          <w:right w:w="10" w:type="dxa"/>
        </w:tblCellMar>
        <w:tblLook w:val="0000" w:firstRow="0" w:lastRow="0" w:firstColumn="0" w:lastColumn="0" w:noHBand="0" w:noVBand="0"/>
      </w:tblPr>
      <w:tblGrid>
        <w:gridCol w:w="7685"/>
        <w:gridCol w:w="1921"/>
      </w:tblGrid>
      <w:tr w:rsidR="00107027">
        <w:tblPrEx>
          <w:tblCellMar>
            <w:bottom w:w="0" w:type="dxa"/>
          </w:tblCellMar>
        </w:tblPrEx>
        <w:tc>
          <w:tcPr>
            <w:tcW w:w="0" w:type="auto"/>
            <w:shd w:val="clear" w:color="auto" w:fill="EFEFEF"/>
          </w:tcPr>
          <w:p w:rsidR="00107027" w:rsidRDefault="0060648D">
            <w:pPr>
              <w:spacing w:after="0"/>
            </w:pPr>
            <w:r>
              <w:rPr>
                <w:rFonts w:ascii="Lato Black"/>
                <w:b/>
              </w:rPr>
              <w:t>Policy 202.04: Vacancies</w:t>
            </w:r>
          </w:p>
        </w:tc>
        <w:tc>
          <w:tcPr>
            <w:tcW w:w="1000" w:type="pct"/>
            <w:shd w:val="clear" w:color="auto" w:fill="EFEFEF"/>
          </w:tcPr>
          <w:p w:rsidR="00107027" w:rsidRDefault="0060648D">
            <w:r>
              <w:rPr>
                <w:rFonts w:ascii="Lato Black"/>
                <w:b/>
              </w:rPr>
              <w:t xml:space="preserve">Status: </w:t>
            </w:r>
            <w:r>
              <w:rPr>
                <w:rFonts w:ascii="Lato"/>
              </w:rPr>
              <w:t>ADOPTED</w:t>
            </w:r>
          </w:p>
        </w:tc>
      </w:tr>
      <w:tr w:rsidR="00107027">
        <w:tblPrEx>
          <w:tblCellMar>
            <w:bottom w:w="0" w:type="dxa"/>
          </w:tblCellMar>
        </w:tblPrEx>
        <w:tc>
          <w:tcPr>
            <w:tcW w:w="0" w:type="auto"/>
            <w:shd w:val="clear" w:color="auto" w:fill="EFEFEF"/>
          </w:tcPr>
          <w:p w:rsidR="00107027" w:rsidRDefault="0060648D">
            <w:r>
              <w:rPr>
                <w:rFonts w:ascii="Lato Black"/>
                <w:b/>
                <w:sz w:val="18"/>
              </w:rPr>
              <w:t xml:space="preserve">Original Adopted Date: </w:t>
            </w:r>
            <w:r>
              <w:rPr>
                <w:rFonts w:ascii="Lato"/>
                <w:sz w:val="18"/>
              </w:rPr>
              <w:t>03/08/2022</w:t>
            </w:r>
            <w:r>
              <w:rPr>
                <w:rFonts w:ascii="Lato Black"/>
                <w:b/>
                <w:sz w:val="18"/>
              </w:rPr>
              <w:t xml:space="preserve"> | Last Reviewed Date: </w:t>
            </w:r>
            <w:r>
              <w:rPr>
                <w:rFonts w:ascii="Lato"/>
                <w:sz w:val="18"/>
              </w:rPr>
              <w:t>03/08/2022</w:t>
            </w:r>
          </w:p>
        </w:tc>
        <w:tc>
          <w:tcPr>
            <w:tcW w:w="0" w:type="auto"/>
            <w:shd w:val="clear" w:color="auto" w:fill="EFEFEF"/>
          </w:tcPr>
          <w:p w:rsidR="00107027" w:rsidRDefault="00107027">
            <w:pPr>
              <w:spacing w:after="0"/>
            </w:pPr>
          </w:p>
        </w:tc>
      </w:tr>
    </w:tbl>
    <w:p w:rsidR="00107027" w:rsidRDefault="00107027">
      <w:pPr>
        <w:spacing w:after="30"/>
        <w:jc w:val="right"/>
      </w:pPr>
    </w:p>
    <w:p w:rsidR="00000000" w:rsidRDefault="0060648D">
      <w:pPr>
        <w:divId w:val="1316378279"/>
        <w:rPr>
          <w:rFonts w:ascii="Lato" w:eastAsia="Times New Roman" w:hAnsi="Lato"/>
        </w:rPr>
      </w:pPr>
      <w:r>
        <w:rPr>
          <w:rFonts w:ascii="Lato" w:eastAsia="Times New Roman" w:hAnsi="Lato"/>
        </w:rPr>
        <w:t xml:space="preserve">A vacancy occurs as provided by law, which includes but is not limited to when a board member dies, resigns or leaves office, or fails to reside in the </w:t>
      </w:r>
      <w:r w:rsidR="00BD78C7">
        <w:rPr>
          <w:rFonts w:ascii="Lato" w:eastAsia="Times New Roman" w:hAnsi="Lato"/>
        </w:rPr>
        <w:t xml:space="preserve">Tri-County </w:t>
      </w:r>
      <w:bookmarkStart w:id="0" w:name="_GoBack"/>
      <w:bookmarkEnd w:id="0"/>
      <w:r>
        <w:rPr>
          <w:rFonts w:ascii="Lato" w:eastAsia="Times New Roman" w:hAnsi="Lato"/>
        </w:rPr>
        <w:t>school district or director district. </w:t>
      </w:r>
      <w:r>
        <w:rPr>
          <w:rFonts w:ascii="Lato" w:eastAsia="Times New Roman" w:hAnsi="Lato"/>
        </w:rPr>
        <w:br/>
      </w:r>
      <w:r>
        <w:rPr>
          <w:rFonts w:ascii="Lato" w:eastAsia="Times New Roman" w:hAnsi="Lato"/>
        </w:rPr>
        <w:br/>
      </w:r>
      <w:r>
        <w:rPr>
          <w:rFonts w:ascii="Lato" w:eastAsia="Times New Roman" w:hAnsi="Lato"/>
        </w:rPr>
        <w:t>If a vacancy occurs prior to the expiration of a term of office, the vacancy will be filled by board appointment within 30 days of the vacancy.  The board shall publish notice stating that the board intends to fill the vacancy by appointment, but the elect</w:t>
      </w:r>
      <w:r>
        <w:rPr>
          <w:rFonts w:ascii="Lato" w:eastAsia="Times New Roman" w:hAnsi="Lato"/>
        </w:rPr>
        <w:t>ors of the school district have the right to file a petition within 14 days of the publication of the notice requiring the vacancy be filled by a special election. </w:t>
      </w:r>
      <w:r>
        <w:rPr>
          <w:rFonts w:ascii="Lato" w:eastAsia="Times New Roman" w:hAnsi="Lato"/>
        </w:rPr>
        <w:br/>
      </w:r>
      <w:r>
        <w:rPr>
          <w:rFonts w:ascii="Lato" w:eastAsia="Times New Roman" w:hAnsi="Lato"/>
        </w:rPr>
        <w:br/>
        <w:t>A person appointed to fill a vacancy shall hold office until a successor is elected and qu</w:t>
      </w:r>
      <w:r>
        <w:rPr>
          <w:rFonts w:ascii="Lato" w:eastAsia="Times New Roman" w:hAnsi="Lato"/>
        </w:rPr>
        <w:t>alified at the next regular school election, unless there is an intervening special election for the school district, in which event a successor shall be elected at the intervening special election. </w:t>
      </w:r>
      <w:r>
        <w:rPr>
          <w:rFonts w:ascii="Lato" w:eastAsia="Times New Roman" w:hAnsi="Lato"/>
        </w:rPr>
        <w:br/>
      </w:r>
      <w:r>
        <w:rPr>
          <w:rFonts w:ascii="Lato" w:eastAsia="Times New Roman" w:hAnsi="Lato"/>
        </w:rPr>
        <w:br/>
        <w:t>If the board is unable to fill a vacancy by appointment</w:t>
      </w:r>
      <w:r>
        <w:rPr>
          <w:rFonts w:ascii="Lato" w:eastAsia="Times New Roman" w:hAnsi="Lato"/>
        </w:rPr>
        <w:t xml:space="preserve"> within 30 days after the vacancy occurs or if a valid petition is submitted, the board secretary will call a special election to be held no sooner than 60 days and not later than 70 days after the vacancy occurred.  A board member elected at the special e</w:t>
      </w:r>
      <w:r>
        <w:rPr>
          <w:rFonts w:ascii="Lato" w:eastAsia="Times New Roman" w:hAnsi="Lato"/>
        </w:rPr>
        <w:t>lection will serve the remaining portion of the unexpired term.</w:t>
      </w:r>
      <w:r>
        <w:rPr>
          <w:rFonts w:ascii="Lato" w:eastAsia="Times New Roman" w:hAnsi="Lato"/>
        </w:rPr>
        <w:br/>
        <w:t xml:space="preserve">  </w:t>
      </w:r>
    </w:p>
    <w:p w:rsidR="00000000" w:rsidRDefault="0060648D">
      <w:pPr>
        <w:shd w:val="clear" w:color="auto" w:fill="EEEEEE"/>
        <w:divId w:val="1338313821"/>
        <w:rPr>
          <w:rFonts w:ascii="Lato" w:eastAsia="Times New Roman" w:hAnsi="Lato"/>
        </w:rPr>
      </w:pPr>
      <w:r>
        <w:rPr>
          <w:rStyle w:val="Strong"/>
          <w:rFonts w:ascii="Lato" w:eastAsia="Times New Roman" w:hAnsi="Lato"/>
          <w:i/>
          <w:iCs/>
        </w:rPr>
        <w:t>NOTE: Special elections called because the board is unable to fill a vacancy by appointment within 30 days or called because a valid petition has been submitted are to be held 60-70 days af</w:t>
      </w:r>
      <w:r>
        <w:rPr>
          <w:rStyle w:val="Strong"/>
          <w:rFonts w:ascii="Lato" w:eastAsia="Times New Roman" w:hAnsi="Lato"/>
          <w:i/>
          <w:iCs/>
        </w:rPr>
        <w:t>ter the vacancy occurs. These special elections are different than the special school elections (commonly called public measure elections), which are held on four specific dates each year as outlined in Iowa Code. The special elections called to fill a vac</w:t>
      </w:r>
      <w:r>
        <w:rPr>
          <w:rStyle w:val="Strong"/>
          <w:rFonts w:ascii="Lato" w:eastAsia="Times New Roman" w:hAnsi="Lato"/>
          <w:i/>
          <w:iCs/>
        </w:rPr>
        <w:t>ancy can be held at any time of the year.</w:t>
      </w:r>
    </w:p>
    <w:p w:rsidR="00000000" w:rsidRDefault="0060648D">
      <w:pPr>
        <w:divId w:val="1316378279"/>
        <w:rPr>
          <w:rFonts w:ascii="Lato" w:eastAsia="Times New Roman" w:hAnsi="Lato"/>
        </w:rPr>
      </w:pPr>
      <w:r>
        <w:rPr>
          <w:rFonts w:ascii="Lato" w:eastAsia="Times New Roman" w:hAnsi="Lato"/>
        </w:rPr>
        <w:br/>
      </w:r>
      <w:r>
        <w:rPr>
          <w:rFonts w:ascii="Lato" w:eastAsia="Times New Roman" w:hAnsi="Lato"/>
        </w:rPr>
        <w:br/>
      </w:r>
      <w:r>
        <w:rPr>
          <w:rFonts w:ascii="Lato" w:eastAsia="Times New Roman" w:hAnsi="Lato"/>
        </w:rPr>
        <w:br/>
      </w:r>
      <w:r>
        <w:rPr>
          <w:rFonts w:ascii="Lato" w:eastAsia="Times New Roman" w:hAnsi="Lato"/>
        </w:rPr>
        <w:br/>
        <w:t xml:space="preserve">  </w:t>
      </w:r>
    </w:p>
    <w:tbl>
      <w:tblPr>
        <w:tblW w:w="10500" w:type="dxa"/>
        <w:tblCellSpacing w:w="0" w:type="dxa"/>
        <w:tblCellMar>
          <w:top w:w="45" w:type="dxa"/>
          <w:left w:w="45" w:type="dxa"/>
          <w:bottom w:w="45" w:type="dxa"/>
          <w:right w:w="45" w:type="dxa"/>
        </w:tblCellMar>
        <w:tblLook w:val="04A0" w:firstRow="1" w:lastRow="0" w:firstColumn="1" w:lastColumn="0" w:noHBand="0" w:noVBand="1"/>
      </w:tblPr>
      <w:tblGrid>
        <w:gridCol w:w="1875"/>
        <w:gridCol w:w="8625"/>
      </w:tblGrid>
      <w:tr w:rsidR="00000000">
        <w:trPr>
          <w:divId w:val="1316378279"/>
          <w:tblCellSpacing w:w="0" w:type="dxa"/>
        </w:trPr>
        <w:tc>
          <w:tcPr>
            <w:tcW w:w="1875" w:type="dxa"/>
            <w:hideMark/>
          </w:tcPr>
          <w:p w:rsidR="00000000" w:rsidRDefault="0060648D">
            <w:pPr>
              <w:rPr>
                <w:rFonts w:ascii="Lato" w:eastAsia="Times New Roman" w:hAnsi="Lato"/>
              </w:rPr>
            </w:pPr>
            <w:r>
              <w:rPr>
                <w:rFonts w:ascii="Lato" w:eastAsia="Times New Roman" w:hAnsi="Lato"/>
              </w:rPr>
              <w:t>Legal Reference:</w:t>
            </w:r>
          </w:p>
        </w:tc>
        <w:tc>
          <w:tcPr>
            <w:tcW w:w="0" w:type="auto"/>
            <w:hideMark/>
          </w:tcPr>
          <w:p w:rsidR="00000000" w:rsidRDefault="0060648D">
            <w:pPr>
              <w:rPr>
                <w:rFonts w:ascii="Lato" w:eastAsia="Times New Roman" w:hAnsi="Lato"/>
              </w:rPr>
            </w:pPr>
            <w:r>
              <w:rPr>
                <w:rFonts w:ascii="Lato" w:eastAsia="Times New Roman" w:hAnsi="Lato"/>
              </w:rPr>
              <w:t>Iowa Code §§ 69; 277.29; 279.</w:t>
            </w:r>
            <w:r>
              <w:rPr>
                <w:rFonts w:ascii="Lato" w:eastAsia="Times New Roman" w:hAnsi="Lato"/>
              </w:rPr>
              <w:br/>
            </w:r>
            <w:r>
              <w:rPr>
                <w:rStyle w:val="Emphasis"/>
                <w:rFonts w:ascii="Lato" w:eastAsia="Times New Roman" w:hAnsi="Lato"/>
                <w:u w:val="single"/>
              </w:rPr>
              <w:t>Good v. Crouch</w:t>
            </w:r>
            <w:r>
              <w:rPr>
                <w:rFonts w:ascii="Lato" w:eastAsia="Times New Roman" w:hAnsi="Lato"/>
              </w:rPr>
              <w:t>, 397 N.W.2d 757 (Iowa 1986).</w:t>
            </w:r>
            <w:r>
              <w:rPr>
                <w:rFonts w:ascii="Lato" w:eastAsia="Times New Roman" w:hAnsi="Lato"/>
              </w:rPr>
              <w:br/>
            </w:r>
            <w:r>
              <w:rPr>
                <w:rStyle w:val="Emphasis"/>
                <w:rFonts w:ascii="Lato" w:eastAsia="Times New Roman" w:hAnsi="Lato"/>
                <w:u w:val="single"/>
              </w:rPr>
              <w:t>Board of Directors of Grimes Independent School Dist. v. County Board of Public</w:t>
            </w:r>
            <w:r>
              <w:rPr>
                <w:rFonts w:ascii="Lato" w:eastAsia="Times New Roman" w:hAnsi="Lato"/>
                <w:i/>
                <w:iCs/>
                <w:u w:val="single"/>
              </w:rPr>
              <w:br/>
            </w:r>
            <w:r>
              <w:rPr>
                <w:rStyle w:val="Emphasis"/>
                <w:rFonts w:ascii="Lato" w:eastAsia="Times New Roman" w:hAnsi="Lato"/>
                <w:u w:val="single"/>
              </w:rPr>
              <w:t>    Instruction of Polk Co.</w:t>
            </w:r>
            <w:r>
              <w:rPr>
                <w:rFonts w:ascii="Lato" w:eastAsia="Times New Roman" w:hAnsi="Lato"/>
              </w:rPr>
              <w:t>, 257 Iow</w:t>
            </w:r>
            <w:r>
              <w:rPr>
                <w:rFonts w:ascii="Lato" w:eastAsia="Times New Roman" w:hAnsi="Lato"/>
              </w:rPr>
              <w:t>a 106, 131 N.W.2d 802 (1965).</w:t>
            </w:r>
            <w:r>
              <w:rPr>
                <w:rFonts w:ascii="Lato" w:eastAsia="Times New Roman" w:hAnsi="Lato"/>
              </w:rPr>
              <w:br/>
            </w:r>
            <w:r>
              <w:rPr>
                <w:rStyle w:val="Emphasis"/>
                <w:rFonts w:ascii="Lato" w:eastAsia="Times New Roman" w:hAnsi="Lato"/>
                <w:u w:val="single"/>
              </w:rPr>
              <w:t xml:space="preserve">Board of Directors of Menlo Consol. School Dist. v. </w:t>
            </w:r>
            <w:proofErr w:type="spellStart"/>
            <w:r>
              <w:rPr>
                <w:rStyle w:val="Emphasis"/>
                <w:rFonts w:ascii="Lato" w:eastAsia="Times New Roman" w:hAnsi="Lato"/>
                <w:u w:val="single"/>
              </w:rPr>
              <w:t>Blakesburg</w:t>
            </w:r>
            <w:proofErr w:type="spellEnd"/>
            <w:r>
              <w:rPr>
                <w:rFonts w:ascii="Lato" w:eastAsia="Times New Roman" w:hAnsi="Lato"/>
              </w:rPr>
              <w:t>, 240 Iowa 910, 36 </w:t>
            </w:r>
            <w:r>
              <w:rPr>
                <w:rFonts w:ascii="Lato" w:eastAsia="Times New Roman" w:hAnsi="Lato"/>
              </w:rPr>
              <w:br/>
              <w:t>    N.W.2d 751 (1949).</w:t>
            </w:r>
          </w:p>
        </w:tc>
      </w:tr>
    </w:tbl>
    <w:p w:rsidR="00000000" w:rsidRDefault="0060648D">
      <w:pPr>
        <w:divId w:val="1316378279"/>
        <w:rPr>
          <w:rFonts w:eastAsia="Times New Roman"/>
        </w:rPr>
      </w:pPr>
    </w:p>
    <w:p w:rsidR="00107027" w:rsidRDefault="00107027">
      <w:pPr>
        <w:pBdr>
          <w:bottom w:val="single" w:sz="5" w:space="1" w:color="auto"/>
        </w:pBdr>
      </w:pP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107027">
        <w:tblPrEx>
          <w:tblCellMar>
            <w:top w:w="0" w:type="dxa"/>
            <w:bottom w:w="0" w:type="dxa"/>
          </w:tblCellMar>
        </w:tblPrEx>
        <w:tc>
          <w:tcPr>
            <w:tcW w:w="4017" w:type="dxa"/>
          </w:tcPr>
          <w:p w:rsidR="00107027" w:rsidRDefault="0060648D">
            <w:pPr>
              <w:spacing w:after="0"/>
            </w:pPr>
            <w:r>
              <w:rPr>
                <w:rFonts w:ascii="Lato Black"/>
                <w:b/>
              </w:rPr>
              <w:t>I.C. Iowa Code</w:t>
            </w:r>
          </w:p>
        </w:tc>
        <w:tc>
          <w:tcPr>
            <w:tcW w:w="5961" w:type="dxa"/>
          </w:tcPr>
          <w:p w:rsidR="00107027" w:rsidRDefault="0060648D">
            <w:pPr>
              <w:spacing w:after="0"/>
            </w:pPr>
            <w:r>
              <w:rPr>
                <w:rFonts w:ascii="Lato Black"/>
                <w:b/>
              </w:rPr>
              <w:t>Description</w:t>
            </w:r>
          </w:p>
        </w:tc>
      </w:tr>
      <w:tr w:rsidR="00107027">
        <w:tblPrEx>
          <w:tblCellMar>
            <w:top w:w="0" w:type="dxa"/>
            <w:bottom w:w="0" w:type="dxa"/>
          </w:tblCellMar>
        </w:tblPrEx>
        <w:tc>
          <w:tcPr>
            <w:tcW w:w="4017" w:type="dxa"/>
          </w:tcPr>
          <w:p w:rsidR="00107027" w:rsidRDefault="0060648D">
            <w:pPr>
              <w:spacing w:after="0"/>
            </w:pPr>
            <w:r>
              <w:rPr>
                <w:rFonts w:ascii="Lato"/>
              </w:rPr>
              <w:t xml:space="preserve">Iowa Code  </w:t>
            </w:r>
            <w:r>
              <w:rPr>
                <w:rFonts w:ascii="Lato"/>
              </w:rPr>
              <w:t>§</w:t>
            </w:r>
            <w:r>
              <w:rPr>
                <w:rFonts w:ascii="Lato"/>
              </w:rPr>
              <w:t xml:space="preserve"> 277.29</w:t>
            </w:r>
          </w:p>
        </w:tc>
        <w:tc>
          <w:tcPr>
            <w:tcW w:w="5961" w:type="dxa"/>
          </w:tcPr>
          <w:p w:rsidR="00107027" w:rsidRDefault="0060648D">
            <w:hyperlink r:id="rId4" w:docLocation="https://www.legis.iowa.gov/docs/code/277.29.pdf">
              <w:r>
                <w:rPr>
                  <w:rFonts w:ascii="Lato"/>
                  <w:color w:val="0563C1" w:themeColor="hyperlink"/>
                  <w:u w:val="single"/>
                </w:rPr>
                <w:t>School Elections - Vacancies</w:t>
              </w:r>
            </w:hyperlink>
          </w:p>
        </w:tc>
      </w:tr>
      <w:tr w:rsidR="00107027">
        <w:tblPrEx>
          <w:tblCellMar>
            <w:top w:w="0" w:type="dxa"/>
            <w:bottom w:w="0" w:type="dxa"/>
          </w:tblCellMar>
        </w:tblPrEx>
        <w:tc>
          <w:tcPr>
            <w:tcW w:w="4017" w:type="dxa"/>
          </w:tcPr>
          <w:p w:rsidR="00107027" w:rsidRDefault="0060648D">
            <w:pPr>
              <w:spacing w:after="0"/>
            </w:pPr>
            <w:r>
              <w:rPr>
                <w:rFonts w:ascii="Lato"/>
              </w:rPr>
              <w:t xml:space="preserve">Iowa Code  </w:t>
            </w:r>
            <w:r>
              <w:rPr>
                <w:rFonts w:ascii="Lato"/>
              </w:rPr>
              <w:t>§</w:t>
            </w:r>
            <w:r>
              <w:rPr>
                <w:rFonts w:ascii="Lato"/>
              </w:rPr>
              <w:t xml:space="preserve"> 279</w:t>
            </w:r>
          </w:p>
        </w:tc>
        <w:tc>
          <w:tcPr>
            <w:tcW w:w="5961" w:type="dxa"/>
          </w:tcPr>
          <w:p w:rsidR="00107027" w:rsidRDefault="0060648D">
            <w:hyperlink r:id="rId5" w:docLocation="https://www.legis.iowa.gov/docs/code/279.pdf">
              <w:r>
                <w:rPr>
                  <w:rFonts w:ascii="Lato"/>
                  <w:color w:val="0563C1" w:themeColor="hyperlink"/>
                  <w:u w:val="single"/>
                </w:rPr>
                <w:t>Directors - Powers and Duties</w:t>
              </w:r>
            </w:hyperlink>
          </w:p>
        </w:tc>
      </w:tr>
      <w:tr w:rsidR="00107027">
        <w:tblPrEx>
          <w:tblCellMar>
            <w:top w:w="0" w:type="dxa"/>
            <w:bottom w:w="0" w:type="dxa"/>
          </w:tblCellMar>
        </w:tblPrEx>
        <w:tc>
          <w:tcPr>
            <w:tcW w:w="4017" w:type="dxa"/>
          </w:tcPr>
          <w:p w:rsidR="00107027" w:rsidRDefault="0060648D">
            <w:pPr>
              <w:spacing w:after="0"/>
            </w:pPr>
            <w:r>
              <w:rPr>
                <w:rFonts w:ascii="Lato"/>
              </w:rPr>
              <w:t xml:space="preserve">Iowa Code  </w:t>
            </w:r>
            <w:r>
              <w:rPr>
                <w:rFonts w:ascii="Lato"/>
              </w:rPr>
              <w:t>§</w:t>
            </w:r>
            <w:r>
              <w:rPr>
                <w:rFonts w:ascii="Lato"/>
              </w:rPr>
              <w:t xml:space="preserve"> 69</w:t>
            </w:r>
          </w:p>
        </w:tc>
        <w:tc>
          <w:tcPr>
            <w:tcW w:w="5961" w:type="dxa"/>
          </w:tcPr>
          <w:p w:rsidR="00107027" w:rsidRDefault="0060648D">
            <w:hyperlink r:id="rId6" w:docLocation="https://www.legis.iowa.gov/docs/code/69.pdf">
              <w:r>
                <w:rPr>
                  <w:rFonts w:ascii="Lato"/>
                  <w:color w:val="0563C1" w:themeColor="hyperlink"/>
                  <w:u w:val="single"/>
                </w:rPr>
                <w:t>Vacancies/Terms</w:t>
              </w:r>
            </w:hyperlink>
          </w:p>
        </w:tc>
      </w:tr>
      <w:tr w:rsidR="00107027">
        <w:tblPrEx>
          <w:tblCellMar>
            <w:top w:w="0" w:type="dxa"/>
            <w:bottom w:w="0" w:type="dxa"/>
          </w:tblCellMar>
        </w:tblPrEx>
        <w:tc>
          <w:tcPr>
            <w:tcW w:w="4017" w:type="dxa"/>
          </w:tcPr>
          <w:p w:rsidR="00107027" w:rsidRDefault="0060648D">
            <w:pPr>
              <w:spacing w:after="0"/>
            </w:pPr>
            <w:r>
              <w:rPr>
                <w:rFonts w:ascii="Lato Black"/>
                <w:b/>
              </w:rPr>
              <w:t>Case Law</w:t>
            </w:r>
          </w:p>
        </w:tc>
        <w:tc>
          <w:tcPr>
            <w:tcW w:w="5961" w:type="dxa"/>
          </w:tcPr>
          <w:p w:rsidR="00107027" w:rsidRDefault="0060648D">
            <w:pPr>
              <w:spacing w:after="0"/>
            </w:pPr>
            <w:r>
              <w:rPr>
                <w:rFonts w:ascii="Lato Black"/>
                <w:b/>
              </w:rPr>
              <w:t>Description</w:t>
            </w:r>
          </w:p>
        </w:tc>
      </w:tr>
      <w:tr w:rsidR="00107027">
        <w:tblPrEx>
          <w:tblCellMar>
            <w:top w:w="0" w:type="dxa"/>
            <w:bottom w:w="0" w:type="dxa"/>
          </w:tblCellMar>
        </w:tblPrEx>
        <w:tc>
          <w:tcPr>
            <w:tcW w:w="4017" w:type="dxa"/>
          </w:tcPr>
          <w:p w:rsidR="00107027" w:rsidRDefault="0060648D">
            <w:pPr>
              <w:spacing w:after="0"/>
            </w:pPr>
            <w:r>
              <w:rPr>
                <w:rFonts w:ascii="Lato"/>
              </w:rPr>
              <w:lastRenderedPageBreak/>
              <w:t>Good v. Crouch</w:t>
            </w:r>
          </w:p>
        </w:tc>
        <w:tc>
          <w:tcPr>
            <w:tcW w:w="5961" w:type="dxa"/>
          </w:tcPr>
          <w:p w:rsidR="00107027" w:rsidRDefault="0060648D">
            <w:r>
              <w:rPr>
                <w:rFonts w:ascii="Lato"/>
              </w:rPr>
              <w:t>397 N.W.2d 757 (Iowa</w:t>
            </w:r>
            <w:r>
              <w:rPr>
                <w:rFonts w:ascii="Lato"/>
              </w:rPr>
              <w:t xml:space="preserve"> 1986).</w:t>
            </w:r>
          </w:p>
        </w:tc>
      </w:tr>
      <w:tr w:rsidR="00107027">
        <w:tblPrEx>
          <w:tblCellMar>
            <w:top w:w="0" w:type="dxa"/>
            <w:bottom w:w="0" w:type="dxa"/>
          </w:tblCellMar>
        </w:tblPrEx>
        <w:tc>
          <w:tcPr>
            <w:tcW w:w="4017" w:type="dxa"/>
          </w:tcPr>
          <w:p w:rsidR="00107027" w:rsidRDefault="0060648D">
            <w:pPr>
              <w:spacing w:after="0"/>
            </w:pPr>
            <w:r>
              <w:rPr>
                <w:rFonts w:ascii="Lato"/>
              </w:rPr>
              <w:t xml:space="preserve">Grimes  </w:t>
            </w:r>
            <w:proofErr w:type="spellStart"/>
            <w:r>
              <w:rPr>
                <w:rFonts w:ascii="Lato"/>
              </w:rPr>
              <w:t>Bd</w:t>
            </w:r>
            <w:proofErr w:type="spellEnd"/>
            <w:r>
              <w:rPr>
                <w:rFonts w:ascii="Lato"/>
              </w:rPr>
              <w:t xml:space="preserve"> of Dir. v. Polk Co Bd. of Public Instr.</w:t>
            </w:r>
          </w:p>
        </w:tc>
        <w:tc>
          <w:tcPr>
            <w:tcW w:w="5961" w:type="dxa"/>
          </w:tcPr>
          <w:p w:rsidR="00107027" w:rsidRDefault="0060648D">
            <w:r>
              <w:rPr>
                <w:rFonts w:ascii="Lato"/>
              </w:rPr>
              <w:t>257 Iowa 106, 131 N.W.2d 802 (1965)</w:t>
            </w:r>
          </w:p>
        </w:tc>
      </w:tr>
      <w:tr w:rsidR="00107027">
        <w:tblPrEx>
          <w:tblCellMar>
            <w:top w:w="0" w:type="dxa"/>
            <w:bottom w:w="0" w:type="dxa"/>
          </w:tblCellMar>
        </w:tblPrEx>
        <w:tc>
          <w:tcPr>
            <w:tcW w:w="4017" w:type="dxa"/>
          </w:tcPr>
          <w:p w:rsidR="00107027" w:rsidRDefault="0060648D">
            <w:pPr>
              <w:spacing w:after="0"/>
            </w:pPr>
            <w:r>
              <w:rPr>
                <w:rFonts w:ascii="Lato"/>
              </w:rPr>
              <w:t xml:space="preserve">Menlo Consol. SD v. </w:t>
            </w:r>
            <w:proofErr w:type="spellStart"/>
            <w:r>
              <w:rPr>
                <w:rFonts w:ascii="Lato"/>
              </w:rPr>
              <w:t>Blakesburg</w:t>
            </w:r>
            <w:proofErr w:type="spellEnd"/>
          </w:p>
        </w:tc>
        <w:tc>
          <w:tcPr>
            <w:tcW w:w="5961" w:type="dxa"/>
          </w:tcPr>
          <w:p w:rsidR="00107027" w:rsidRDefault="0060648D">
            <w:r>
              <w:rPr>
                <w:rFonts w:ascii="Lato"/>
              </w:rPr>
              <w:t>240 Iowa 910, 36 N.W.2d 751 (1949).</w:t>
            </w:r>
          </w:p>
        </w:tc>
      </w:tr>
    </w:tbl>
    <w:p w:rsidR="00000000" w:rsidRDefault="0060648D">
      <w:pPr>
        <w:shd w:val="clear" w:color="auto" w:fill="F9F9F9"/>
        <w:spacing w:line="480" w:lineRule="auto"/>
        <w:divId w:val="1527787159"/>
        <w:rPr>
          <w:rFonts w:ascii="Lato Black" w:eastAsia="Times New Roman" w:hAnsi="Lato Black"/>
          <w:b/>
          <w:bCs/>
        </w:rPr>
      </w:pPr>
      <w:r>
        <w:rPr>
          <w:rFonts w:ascii="Lato Black" w:eastAsia="Times New Roman" w:hAnsi="Lato Black"/>
          <w:b/>
          <w:bCs/>
        </w:rPr>
        <w:t>Cross References</w:t>
      </w: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107027">
        <w:tblPrEx>
          <w:tblCellMar>
            <w:top w:w="0" w:type="dxa"/>
            <w:bottom w:w="0" w:type="dxa"/>
          </w:tblCellMar>
        </w:tblPrEx>
        <w:tc>
          <w:tcPr>
            <w:tcW w:w="4017" w:type="dxa"/>
          </w:tcPr>
          <w:p w:rsidR="00107027" w:rsidRDefault="0060648D">
            <w:pPr>
              <w:spacing w:after="0"/>
            </w:pPr>
            <w:r>
              <w:rPr>
                <w:rFonts w:ascii="Lato Black"/>
                <w:b/>
              </w:rPr>
              <w:t>Code</w:t>
            </w:r>
          </w:p>
        </w:tc>
        <w:tc>
          <w:tcPr>
            <w:tcW w:w="5961" w:type="dxa"/>
          </w:tcPr>
          <w:p w:rsidR="00107027" w:rsidRDefault="0060648D">
            <w:pPr>
              <w:spacing w:after="0"/>
            </w:pPr>
            <w:r>
              <w:rPr>
                <w:rFonts w:ascii="Lato Black"/>
                <w:b/>
              </w:rPr>
              <w:t>Description</w:t>
            </w:r>
          </w:p>
        </w:tc>
      </w:tr>
      <w:tr w:rsidR="00107027">
        <w:tblPrEx>
          <w:tblCellMar>
            <w:top w:w="0" w:type="dxa"/>
            <w:bottom w:w="0" w:type="dxa"/>
          </w:tblCellMar>
        </w:tblPrEx>
        <w:tc>
          <w:tcPr>
            <w:tcW w:w="4017" w:type="dxa"/>
          </w:tcPr>
          <w:p w:rsidR="00107027" w:rsidRDefault="0060648D">
            <w:pPr>
              <w:spacing w:after="0"/>
            </w:pPr>
            <w:r>
              <w:rPr>
                <w:rFonts w:ascii="Lato"/>
              </w:rPr>
              <w:t>201</w:t>
            </w:r>
          </w:p>
        </w:tc>
        <w:tc>
          <w:tcPr>
            <w:tcW w:w="5961" w:type="dxa"/>
          </w:tcPr>
          <w:p w:rsidR="00107027" w:rsidRDefault="0060648D">
            <w:hyperlink r:id="rId7" w:docLocation="https://simbli.eboardsolutions.com/Policy/ViewPolicy.aspx?S=36031104&amp;revid=p33slshBg4Ftbnl6NZ9izTZ9w==">
              <w:r>
                <w:rPr>
                  <w:rFonts w:ascii="Lato"/>
                  <w:color w:val="0563C1" w:themeColor="hyperlink"/>
                  <w:u w:val="single"/>
                </w:rPr>
                <w:t>Board of Directors' Election</w:t>
              </w:r>
              <w:r>
                <w:rPr>
                  <w:rFonts w:ascii="Lato"/>
                  <w:color w:val="0563C1" w:themeColor="hyperlink"/>
                  <w:u w:val="single"/>
                </w:rPr>
                <w:t>s</w:t>
              </w:r>
            </w:hyperlink>
          </w:p>
        </w:tc>
      </w:tr>
      <w:tr w:rsidR="00107027">
        <w:tblPrEx>
          <w:tblCellMar>
            <w:top w:w="0" w:type="dxa"/>
            <w:bottom w:w="0" w:type="dxa"/>
          </w:tblCellMar>
        </w:tblPrEx>
        <w:tc>
          <w:tcPr>
            <w:tcW w:w="4017" w:type="dxa"/>
          </w:tcPr>
          <w:p w:rsidR="00107027" w:rsidRDefault="0060648D">
            <w:pPr>
              <w:spacing w:after="0"/>
            </w:pPr>
            <w:r>
              <w:rPr>
                <w:rFonts w:ascii="Lato"/>
              </w:rPr>
              <w:t>202.01</w:t>
            </w:r>
          </w:p>
        </w:tc>
        <w:tc>
          <w:tcPr>
            <w:tcW w:w="5961" w:type="dxa"/>
          </w:tcPr>
          <w:p w:rsidR="00107027" w:rsidRDefault="0060648D">
            <w:hyperlink r:id="rId8" w:docLocation="https://simbli.eboardsolutions.com/Policy/ViewPolicy.aspx?S=36031104&amp;revid=4DPKGlVexa3kGn48qf6eLQ==">
              <w:r>
                <w:rPr>
                  <w:rFonts w:ascii="Lato"/>
                  <w:color w:val="0563C1" w:themeColor="hyperlink"/>
                  <w:u w:val="single"/>
                </w:rPr>
                <w:t>Qualifications</w:t>
              </w:r>
            </w:hyperlink>
          </w:p>
        </w:tc>
      </w:tr>
      <w:tr w:rsidR="00107027">
        <w:tblPrEx>
          <w:tblCellMar>
            <w:top w:w="0" w:type="dxa"/>
            <w:bottom w:w="0" w:type="dxa"/>
          </w:tblCellMar>
        </w:tblPrEx>
        <w:tc>
          <w:tcPr>
            <w:tcW w:w="4017" w:type="dxa"/>
          </w:tcPr>
          <w:p w:rsidR="00107027" w:rsidRDefault="0060648D">
            <w:pPr>
              <w:spacing w:after="0"/>
            </w:pPr>
            <w:r>
              <w:rPr>
                <w:rFonts w:ascii="Lato"/>
              </w:rPr>
              <w:t>202.03</w:t>
            </w:r>
          </w:p>
        </w:tc>
        <w:tc>
          <w:tcPr>
            <w:tcW w:w="5961" w:type="dxa"/>
          </w:tcPr>
          <w:p w:rsidR="00107027" w:rsidRDefault="0060648D">
            <w:hyperlink r:id="rId9" w:docLocation="https://simbli.eboardsolutions.com/Policy/ViewPolicy.aspx?S=36031104&amp;revid=AQJLARPj556ZwSCo5bPmmg==">
              <w:r>
                <w:rPr>
                  <w:rFonts w:ascii="Lato"/>
                  <w:color w:val="0563C1" w:themeColor="hyperlink"/>
                  <w:u w:val="single"/>
                </w:rPr>
                <w:t>Term of Office</w:t>
              </w:r>
            </w:hyperlink>
          </w:p>
        </w:tc>
      </w:tr>
    </w:tbl>
    <w:p w:rsidR="0060648D" w:rsidRDefault="0060648D"/>
    <w:sectPr w:rsidR="0060648D">
      <w:pgSz w:w="12240" w:h="15840"/>
      <w:pgMar w:top="617" w:right="1200" w:bottom="402" w:left="14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Black">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027"/>
    <w:rsid w:val="00107027"/>
    <w:rsid w:val="0060648D"/>
    <w:rsid w:val="00BD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34382"/>
  <w15:docId w15:val="{83BDEDD7-3D12-40B7-8D69-E22426A6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378279">
      <w:bodyDiv w:val="1"/>
      <w:marLeft w:val="0"/>
      <w:marRight w:val="0"/>
      <w:marTop w:val="0"/>
      <w:marBottom w:val="0"/>
      <w:divBdr>
        <w:top w:val="none" w:sz="0" w:space="0" w:color="auto"/>
        <w:left w:val="none" w:sz="0" w:space="0" w:color="auto"/>
        <w:bottom w:val="none" w:sz="0" w:space="0" w:color="auto"/>
        <w:right w:val="none" w:sz="0" w:space="0" w:color="auto"/>
      </w:divBdr>
      <w:divsChild>
        <w:div w:id="1338313821">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503548213">
      <w:bodyDiv w:val="1"/>
      <w:marLeft w:val="0"/>
      <w:marRight w:val="0"/>
      <w:marTop w:val="0"/>
      <w:marBottom w:val="0"/>
      <w:divBdr>
        <w:top w:val="none" w:sz="0" w:space="0" w:color="auto"/>
        <w:left w:val="none" w:sz="0" w:space="0" w:color="auto"/>
        <w:bottom w:val="none" w:sz="0" w:space="0" w:color="auto"/>
        <w:right w:val="none" w:sz="0" w:space="0" w:color="auto"/>
      </w:divBdr>
      <w:divsChild>
        <w:div w:id="1527787159">
          <w:marLeft w:val="0"/>
          <w:marRight w:val="0"/>
          <w:marTop w:val="1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mbli.eboardsolutions.com/Policy/ViewPolicy.aspx?S=36031104&amp;revid=4DPKGlVexa3kGn48qf6eLQ==" TargetMode="External"/><Relationship Id="rId3" Type="http://schemas.openxmlformats.org/officeDocument/2006/relationships/webSettings" Target="webSettings.xml"/><Relationship Id="rId7" Type="http://schemas.openxmlformats.org/officeDocument/2006/relationships/hyperlink" Target="https://simbli.eboardsolutions.com/Policy/ViewPolicy.aspx?S=36031104&amp;revid=p33slshBg4Ftbnl6NZ9izTZ9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s.iowa.gov/docs/code/69.pdf" TargetMode="External"/><Relationship Id="rId11" Type="http://schemas.openxmlformats.org/officeDocument/2006/relationships/theme" Target="theme/theme1.xml"/><Relationship Id="rId5" Type="http://schemas.openxmlformats.org/officeDocument/2006/relationships/hyperlink" Target="https://www.legis.iowa.gov/docs/code/279.pdf" TargetMode="External"/><Relationship Id="rId10" Type="http://schemas.openxmlformats.org/officeDocument/2006/relationships/fontTable" Target="fontTable.xml"/><Relationship Id="rId4" Type="http://schemas.openxmlformats.org/officeDocument/2006/relationships/hyperlink" Target="https://www.legis.iowa.gov/docs/code/277.29.pdf" TargetMode="External"/><Relationship Id="rId9" Type="http://schemas.openxmlformats.org/officeDocument/2006/relationships/hyperlink" Target="https://simbli.eboardsolutions.com/Policy/ViewPolicy.aspx?S=36031104&amp;revid=AQJLARPj556ZwSCo5bPmm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Heisdorffer</dc:creator>
  <cp:lastModifiedBy>Linda Heisdorffer</cp:lastModifiedBy>
  <cp:revision>2</cp:revision>
  <dcterms:created xsi:type="dcterms:W3CDTF">2024-02-14T19:44:00Z</dcterms:created>
  <dcterms:modified xsi:type="dcterms:W3CDTF">2024-02-14T19:44:00Z</dcterms:modified>
</cp:coreProperties>
</file>